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5839D" w14:textId="143067BB" w:rsidR="008958BD" w:rsidRDefault="005B7135" w:rsidP="008958BD">
      <w:pPr>
        <w:pStyle w:val="Header"/>
        <w:jc w:val="center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8EA7A9" wp14:editId="3B21A129">
                <wp:simplePos x="0" y="0"/>
                <wp:positionH relativeFrom="column">
                  <wp:posOffset>3766185</wp:posOffset>
                </wp:positionH>
                <wp:positionV relativeFrom="paragraph">
                  <wp:posOffset>-151765</wp:posOffset>
                </wp:positionV>
                <wp:extent cx="1144905" cy="1243330"/>
                <wp:effectExtent l="66675" t="73025" r="74295" b="0"/>
                <wp:wrapNone/>
                <wp:docPr id="1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144905" cy="124333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6AE75B3" w14:textId="77777777" w:rsidR="005B7135" w:rsidRDefault="005B7135" w:rsidP="005B7135">
                            <w:pPr>
                              <w:jc w:val="center"/>
                              <w:rPr>
                                <w:rFonts w:ascii="Comic Sans MS" w:hAnsi="Comic Sans MS"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Ashton Gate Out of School Care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8EA7A9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position:absolute;left:0;text-align:left;margin-left:296.55pt;margin-top:-11.95pt;width:90.15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" filled="f" stroked="f">
                <o:lock v:ext="edit" shapetype="t"/>
                <v:textbox style="mso-fit-shape-to-text:t">
                  <w:txbxContent>
                    <w:p w14:paraId="46AE75B3" w14:textId="77777777" w:rsidR="005B7135" w:rsidRDefault="005B7135" w:rsidP="005B7135">
                      <w:pPr>
                        <w:jc w:val="center"/>
                        <w:rPr>
                          <w:rFonts w:ascii="Comic Sans MS" w:hAnsi="Comic Sans MS"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mic Sans MS" w:hAnsi="Comic Sans MS"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Ashton Gate Out of School Care</w:t>
                      </w:r>
                    </w:p>
                  </w:txbxContent>
                </v:textbox>
              </v:shape>
            </w:pict>
          </mc:Fallback>
        </mc:AlternateContent>
      </w:r>
      <w:r w:rsidR="008958BD">
        <w:rPr>
          <w:noProof/>
          <w:lang w:val="en-US"/>
        </w:rPr>
        <w:drawing>
          <wp:inline distT="0" distB="0" distL="0" distR="0" wp14:anchorId="7BC2A0A2" wp14:editId="7499676D">
            <wp:extent cx="787400" cy="931545"/>
            <wp:effectExtent l="19050" t="0" r="0" b="0"/>
            <wp:docPr id="2" name="Picture 2" descr="a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93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D6F9E5" w14:textId="77777777" w:rsidR="008958BD" w:rsidRDefault="008958BD" w:rsidP="008958BD">
      <w:pPr>
        <w:spacing w:after="0"/>
        <w:jc w:val="center"/>
        <w:rPr>
          <w:rFonts w:ascii="Tahoma" w:hAnsi="Tahoma" w:cs="Tahoma"/>
          <w:b/>
          <w:sz w:val="28"/>
          <w:szCs w:val="28"/>
        </w:rPr>
      </w:pPr>
    </w:p>
    <w:p w14:paraId="533DBA8E" w14:textId="77777777" w:rsidR="00D17C78" w:rsidRPr="009C7AA6" w:rsidRDefault="00D17C78">
      <w:pPr>
        <w:jc w:val="center"/>
        <w:rPr>
          <w:rFonts w:ascii="Tahoma" w:hAnsi="Tahoma" w:cs="Tahoma"/>
          <w:b/>
          <w:sz w:val="28"/>
          <w:szCs w:val="28"/>
        </w:rPr>
      </w:pPr>
      <w:r w:rsidRPr="009C7AA6">
        <w:rPr>
          <w:rFonts w:ascii="Tahoma" w:hAnsi="Tahoma" w:cs="Tahoma"/>
          <w:b/>
          <w:sz w:val="28"/>
          <w:szCs w:val="28"/>
        </w:rPr>
        <w:t>Retention of Records Procedures</w:t>
      </w:r>
    </w:p>
    <w:tbl>
      <w:tblPr>
        <w:tblW w:w="1460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78"/>
        <w:gridCol w:w="3220"/>
        <w:gridCol w:w="5103"/>
      </w:tblGrid>
      <w:tr w:rsidR="00D17C78" w14:paraId="53BD650F" w14:textId="77777777">
        <w:tc>
          <w:tcPr>
            <w:tcW w:w="6278" w:type="dxa"/>
          </w:tcPr>
          <w:p w14:paraId="022AB6E0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Document</w:t>
            </w:r>
          </w:p>
        </w:tc>
        <w:tc>
          <w:tcPr>
            <w:tcW w:w="3220" w:type="dxa"/>
          </w:tcPr>
          <w:p w14:paraId="3BB66852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To be kept for?</w:t>
            </w:r>
          </w:p>
        </w:tc>
        <w:tc>
          <w:tcPr>
            <w:tcW w:w="5103" w:type="dxa"/>
          </w:tcPr>
          <w:p w14:paraId="5FCCED6D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Statutory Authority</w:t>
            </w:r>
          </w:p>
        </w:tc>
      </w:tr>
      <w:tr w:rsidR="00D17C78" w14:paraId="19821AF5" w14:textId="77777777">
        <w:tc>
          <w:tcPr>
            <w:tcW w:w="6278" w:type="dxa"/>
          </w:tcPr>
          <w:p w14:paraId="23DAD0F5" w14:textId="77777777" w:rsidR="00A94C3F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General financial records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1C8F1F0C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(to </w:t>
            </w:r>
            <w:proofErr w:type="gramStart"/>
            <w:r>
              <w:rPr>
                <w:rFonts w:ascii="Tahoma" w:hAnsi="Tahoma" w:cs="Tahoma"/>
                <w:sz w:val="24"/>
                <w:szCs w:val="24"/>
              </w:rPr>
              <w:t>include:</w:t>
            </w:r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invoices, bills, voucher scheme payments, funding income &amp; expenditures, petty cash information, bank statements, cheque book &amp; paying in book stubs</w:t>
            </w:r>
            <w:r w:rsidR="00A94C3F"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220" w:type="dxa"/>
          </w:tcPr>
          <w:p w14:paraId="39A6D33F" w14:textId="77777777" w:rsidR="00D17C78" w:rsidRDefault="00965F47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</w:t>
            </w:r>
            <w:r w:rsidR="00D17C78">
              <w:rPr>
                <w:rFonts w:ascii="Tahoma" w:hAnsi="Tahoma" w:cs="Tahoma"/>
                <w:sz w:val="24"/>
                <w:szCs w:val="24"/>
              </w:rPr>
              <w:t xml:space="preserve"> years (refer to HMRC for latest guidance)</w:t>
            </w:r>
          </w:p>
        </w:tc>
        <w:tc>
          <w:tcPr>
            <w:tcW w:w="5103" w:type="dxa"/>
          </w:tcPr>
          <w:p w14:paraId="5002E117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Section 221 of the Companies Act 1985 as modified by the Companies Acts 1989 and 2006</w:t>
            </w:r>
          </w:p>
        </w:tc>
      </w:tr>
      <w:tr w:rsidR="00D17C78" w14:paraId="575850F8" w14:textId="77777777">
        <w:tc>
          <w:tcPr>
            <w:tcW w:w="6278" w:type="dxa"/>
          </w:tcPr>
          <w:p w14:paraId="2F50D630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  <w:t>Accounting records</w:t>
            </w:r>
          </w:p>
        </w:tc>
        <w:tc>
          <w:tcPr>
            <w:tcW w:w="3220" w:type="dxa"/>
          </w:tcPr>
          <w:p w14:paraId="4B35B738" w14:textId="77777777" w:rsidR="00D17C78" w:rsidRDefault="00367E3B" w:rsidP="00C3267E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6 years is best practice</w:t>
            </w:r>
          </w:p>
        </w:tc>
        <w:tc>
          <w:tcPr>
            <w:tcW w:w="5103" w:type="dxa"/>
          </w:tcPr>
          <w:p w14:paraId="66C2B9A1" w14:textId="77777777" w:rsidR="00D17C78" w:rsidRDefault="00D17C78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Section 221 of the Companies Act 1985 as modified by the Companies Acts 1989 and 2006</w:t>
            </w:r>
          </w:p>
        </w:tc>
      </w:tr>
      <w:tr w:rsidR="00D17C78" w14:paraId="7EFD3AB1" w14:textId="77777777">
        <w:tc>
          <w:tcPr>
            <w:tcW w:w="6278" w:type="dxa"/>
          </w:tcPr>
          <w:p w14:paraId="7227211E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  <w:t>Income tax and NI returns, income tax records and correspondence with the Inland Revenue</w:t>
            </w:r>
          </w:p>
        </w:tc>
        <w:tc>
          <w:tcPr>
            <w:tcW w:w="3220" w:type="dxa"/>
          </w:tcPr>
          <w:p w14:paraId="622E72BC" w14:textId="77777777" w:rsidR="00D17C78" w:rsidRDefault="00965F47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6 years is best practice</w:t>
            </w:r>
          </w:p>
        </w:tc>
        <w:tc>
          <w:tcPr>
            <w:tcW w:w="5103" w:type="dxa"/>
          </w:tcPr>
          <w:p w14:paraId="2AF4736F" w14:textId="77777777" w:rsidR="00D17C78" w:rsidRDefault="00D17C78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The Income Tax (Employments) Regulations 1993</w:t>
            </w:r>
            <w:r>
              <w:rPr>
                <w:rFonts w:ascii="Tahoma" w:hAnsi="Tahoma" w:cs="Tahoma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(SI 1993/744) as amended, for example by The Income Tax (Employments) (Amendment No. 6) Regulations 1996 (SI 1996/2631)</w:t>
            </w:r>
          </w:p>
        </w:tc>
      </w:tr>
      <w:tr w:rsidR="00D17C78" w14:paraId="1EA5632F" w14:textId="77777777">
        <w:tc>
          <w:tcPr>
            <w:tcW w:w="6278" w:type="dxa"/>
          </w:tcPr>
          <w:p w14:paraId="53C1A28B" w14:textId="77777777" w:rsidR="00D17C78" w:rsidRDefault="00D17C78">
            <w:pPr>
              <w:spacing w:after="0"/>
              <w:jc w:val="center"/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  <w:t>Inland Revenue approvals</w:t>
            </w:r>
          </w:p>
        </w:tc>
        <w:tc>
          <w:tcPr>
            <w:tcW w:w="3220" w:type="dxa"/>
          </w:tcPr>
          <w:p w14:paraId="46858D48" w14:textId="77777777" w:rsidR="00D17C78" w:rsidRDefault="00D17C78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Permanently</w:t>
            </w:r>
          </w:p>
        </w:tc>
        <w:tc>
          <w:tcPr>
            <w:tcW w:w="5103" w:type="dxa"/>
          </w:tcPr>
          <w:p w14:paraId="0C89D462" w14:textId="77777777" w:rsidR="00D17C78" w:rsidRDefault="00D17C78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D17C78" w14:paraId="23017B63" w14:textId="77777777">
        <w:tc>
          <w:tcPr>
            <w:tcW w:w="6278" w:type="dxa"/>
          </w:tcPr>
          <w:p w14:paraId="49DAC2AA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Child Registration Forms</w:t>
            </w:r>
            <w:r>
              <w:rPr>
                <w:rFonts w:ascii="Tahoma" w:hAnsi="Tahoma" w:cs="Tahoma"/>
                <w:sz w:val="24"/>
                <w:szCs w:val="24"/>
              </w:rPr>
              <w:t xml:space="preserve"> (includes name, home address and date of birth of the child and the name, home address and telephone number of their parent)</w:t>
            </w:r>
          </w:p>
        </w:tc>
        <w:tc>
          <w:tcPr>
            <w:tcW w:w="3220" w:type="dxa"/>
          </w:tcPr>
          <w:p w14:paraId="686ABD43" w14:textId="77777777" w:rsidR="00D17C78" w:rsidRDefault="00A94C3F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="00D17C78">
              <w:rPr>
                <w:rFonts w:ascii="Tahoma" w:hAnsi="Tahoma" w:cs="Tahoma"/>
                <w:sz w:val="24"/>
                <w:szCs w:val="24"/>
              </w:rPr>
              <w:t xml:space="preserve"> years after completion</w:t>
            </w:r>
          </w:p>
          <w:p w14:paraId="61EB9472" w14:textId="77777777" w:rsidR="00A94C3F" w:rsidRDefault="00A94C3F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103" w:type="dxa"/>
          </w:tcPr>
          <w:p w14:paraId="5920583F" w14:textId="77777777" w:rsidR="00D17C78" w:rsidRDefault="00D17C78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Limitation Act 1980</w:t>
            </w:r>
          </w:p>
          <w:p w14:paraId="25AAC2D7" w14:textId="2E70CD09" w:rsidR="00E12B8D" w:rsidRDefault="00E12B8D" w:rsidP="00E12B8D">
            <w:pPr>
              <w:spacing w:after="0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A94C3F" w14:paraId="424C00B8" w14:textId="77777777">
        <w:tc>
          <w:tcPr>
            <w:tcW w:w="6278" w:type="dxa"/>
          </w:tcPr>
          <w:p w14:paraId="0AE7512C" w14:textId="77777777" w:rsidR="00A94C3F" w:rsidRDefault="00A94C3F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Key Person Observation Files</w:t>
            </w:r>
            <w:r w:rsidR="001F0436">
              <w:rPr>
                <w:rFonts w:ascii="Tahoma" w:hAnsi="Tahoma" w:cs="Tahoma"/>
                <w:b/>
                <w:sz w:val="24"/>
                <w:szCs w:val="24"/>
              </w:rPr>
              <w:t xml:space="preserve"> (need to retain ones)</w:t>
            </w:r>
          </w:p>
        </w:tc>
        <w:tc>
          <w:tcPr>
            <w:tcW w:w="3220" w:type="dxa"/>
          </w:tcPr>
          <w:p w14:paraId="6721AE0B" w14:textId="77777777" w:rsidR="00A94C3F" w:rsidRDefault="00965F47" w:rsidP="00965F47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 years</w:t>
            </w:r>
          </w:p>
        </w:tc>
        <w:tc>
          <w:tcPr>
            <w:tcW w:w="5103" w:type="dxa"/>
          </w:tcPr>
          <w:p w14:paraId="121ECA85" w14:textId="77777777" w:rsidR="00A94C3F" w:rsidRDefault="00A94C3F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D17C78" w14:paraId="2D07964D" w14:textId="77777777">
        <w:tc>
          <w:tcPr>
            <w:tcW w:w="6278" w:type="dxa"/>
          </w:tcPr>
          <w:p w14:paraId="78C479B8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Daily registers</w:t>
            </w:r>
          </w:p>
        </w:tc>
        <w:tc>
          <w:tcPr>
            <w:tcW w:w="3220" w:type="dxa"/>
          </w:tcPr>
          <w:p w14:paraId="247E70BF" w14:textId="77777777" w:rsidR="00D17C78" w:rsidRDefault="00965F47" w:rsidP="00965F47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="00D17C78">
              <w:rPr>
                <w:rFonts w:ascii="Tahoma" w:hAnsi="Tahoma" w:cs="Tahoma"/>
                <w:sz w:val="24"/>
                <w:szCs w:val="24"/>
              </w:rPr>
              <w:t xml:space="preserve"> years </w:t>
            </w:r>
          </w:p>
        </w:tc>
        <w:tc>
          <w:tcPr>
            <w:tcW w:w="5103" w:type="dxa"/>
          </w:tcPr>
          <w:p w14:paraId="21B80E41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Limitation Act 1980</w:t>
            </w:r>
          </w:p>
        </w:tc>
      </w:tr>
      <w:tr w:rsidR="00D17C78" w14:paraId="2644D72D" w14:textId="77777777">
        <w:tc>
          <w:tcPr>
            <w:tcW w:w="6278" w:type="dxa"/>
          </w:tcPr>
          <w:p w14:paraId="171DD4C7" w14:textId="77777777" w:rsidR="00A94C3F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Administration of medicine records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6E7890BC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(</w:t>
            </w:r>
            <w:proofErr w:type="gramStart"/>
            <w:r>
              <w:rPr>
                <w:rFonts w:ascii="Tahoma" w:hAnsi="Tahoma" w:cs="Tahoma"/>
                <w:sz w:val="24"/>
                <w:szCs w:val="24"/>
              </w:rPr>
              <w:t>forms</w:t>
            </w:r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for any medicinal product administered to any child on the premises, including date and circumstances </w:t>
            </w:r>
            <w:r>
              <w:rPr>
                <w:rFonts w:ascii="Tahoma" w:hAnsi="Tahoma" w:cs="Tahoma"/>
                <w:sz w:val="24"/>
                <w:szCs w:val="24"/>
              </w:rPr>
              <w:lastRenderedPageBreak/>
              <w:t>of administration, by whom it was administered, including medicinal products which the child is permitted to administer themselves, together with a record of parental consent.)</w:t>
            </w:r>
          </w:p>
        </w:tc>
        <w:tc>
          <w:tcPr>
            <w:tcW w:w="3220" w:type="dxa"/>
          </w:tcPr>
          <w:p w14:paraId="22557037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lastRenderedPageBreak/>
              <w:t>5 years after completion</w:t>
            </w:r>
            <w:r w:rsidR="00965F47">
              <w:rPr>
                <w:rFonts w:ascii="Tahoma" w:hAnsi="Tahoma" w:cs="Tahoma"/>
                <w:sz w:val="24"/>
                <w:szCs w:val="24"/>
              </w:rPr>
              <w:t xml:space="preserve"> unless there has been a serious incident. </w:t>
            </w:r>
          </w:p>
        </w:tc>
        <w:tc>
          <w:tcPr>
            <w:tcW w:w="5103" w:type="dxa"/>
          </w:tcPr>
          <w:p w14:paraId="42BEA175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Limitation Act 1980</w:t>
            </w:r>
          </w:p>
        </w:tc>
      </w:tr>
      <w:tr w:rsidR="00D17C78" w14:paraId="18EF5A53" w14:textId="77777777">
        <w:tc>
          <w:tcPr>
            <w:tcW w:w="6278" w:type="dxa"/>
          </w:tcPr>
          <w:p w14:paraId="39FFB2BD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Incident Forms</w:t>
            </w:r>
          </w:p>
        </w:tc>
        <w:tc>
          <w:tcPr>
            <w:tcW w:w="3220" w:type="dxa"/>
          </w:tcPr>
          <w:p w14:paraId="2178CAE3" w14:textId="77777777" w:rsidR="00D17C78" w:rsidRDefault="00D17C78" w:rsidP="00A56BB1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Incident forms relating to individual children shou</w:t>
            </w:r>
            <w:r w:rsidR="00A56BB1">
              <w:rPr>
                <w:rFonts w:ascii="Tahoma" w:hAnsi="Tahoma" w:cs="Tahoma"/>
                <w:sz w:val="24"/>
                <w:szCs w:val="24"/>
              </w:rPr>
              <w:t>ld be retained for 3 years after the child has left the provision</w:t>
            </w:r>
            <w:r>
              <w:rPr>
                <w:rFonts w:ascii="Tahoma" w:hAnsi="Tahoma" w:cs="Tahoma"/>
                <w:sz w:val="24"/>
                <w:szCs w:val="24"/>
              </w:rPr>
              <w:t>.</w:t>
            </w:r>
            <w:r w:rsidR="00BB6A3E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14:paraId="320C3238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Limitation Act 1980</w:t>
            </w:r>
          </w:p>
        </w:tc>
      </w:tr>
      <w:tr w:rsidR="00BB6A3E" w14:paraId="09D7A2CF" w14:textId="77777777">
        <w:tc>
          <w:tcPr>
            <w:tcW w:w="6278" w:type="dxa"/>
          </w:tcPr>
          <w:p w14:paraId="3168DCAC" w14:textId="77777777" w:rsidR="00BB6A3E" w:rsidRDefault="00BB6A3E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Accident Forms</w:t>
            </w:r>
          </w:p>
        </w:tc>
        <w:tc>
          <w:tcPr>
            <w:tcW w:w="3220" w:type="dxa"/>
          </w:tcPr>
          <w:p w14:paraId="1EE68701" w14:textId="77777777" w:rsidR="00BB6A3E" w:rsidRDefault="00BB6A3E" w:rsidP="00BB6A3E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Accident forms relating to individual children should be retained for 3 years after the incident.</w:t>
            </w:r>
          </w:p>
        </w:tc>
        <w:tc>
          <w:tcPr>
            <w:tcW w:w="5103" w:type="dxa"/>
          </w:tcPr>
          <w:p w14:paraId="0CD60703" w14:textId="77777777" w:rsidR="00BB6A3E" w:rsidRDefault="00BB6A3E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Limitation Act 1980</w:t>
            </w:r>
          </w:p>
        </w:tc>
      </w:tr>
      <w:tr w:rsidR="00D17C78" w14:paraId="6AB7E162" w14:textId="77777777">
        <w:tc>
          <w:tcPr>
            <w:tcW w:w="6278" w:type="dxa"/>
          </w:tcPr>
          <w:p w14:paraId="308D92D3" w14:textId="77777777" w:rsidR="00D17C78" w:rsidRDefault="00965F47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Medical, Incident, </w:t>
            </w:r>
            <w:r w:rsidR="00D17C78">
              <w:rPr>
                <w:rFonts w:ascii="Tahoma" w:hAnsi="Tahoma" w:cs="Tahoma"/>
                <w:b/>
                <w:sz w:val="24"/>
                <w:szCs w:val="24"/>
              </w:rPr>
              <w:t>Accident records and insurance information</w:t>
            </w:r>
          </w:p>
        </w:tc>
        <w:tc>
          <w:tcPr>
            <w:tcW w:w="3220" w:type="dxa"/>
          </w:tcPr>
          <w:p w14:paraId="42468843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If there has been a serious accident all records and information about this should be kept for 40 years.</w:t>
            </w:r>
          </w:p>
        </w:tc>
        <w:tc>
          <w:tcPr>
            <w:tcW w:w="5103" w:type="dxa"/>
          </w:tcPr>
          <w:p w14:paraId="26E6437D" w14:textId="77777777" w:rsidR="00D17C78" w:rsidRDefault="00D17C7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The Reporting of Injuries, Diseases and Dangerous Occurrences Regulations 1995 (RIDDOR)</w:t>
            </w:r>
            <w:r>
              <w:rPr>
                <w:rFonts w:ascii="Tahoma" w:hAnsi="Tahoma" w:cs="Tahoma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(SI 1995/3163) as amended</w:t>
            </w:r>
          </w:p>
        </w:tc>
      </w:tr>
      <w:tr w:rsidR="00965F47" w14:paraId="276FF285" w14:textId="77777777">
        <w:tc>
          <w:tcPr>
            <w:tcW w:w="6278" w:type="dxa"/>
          </w:tcPr>
          <w:p w14:paraId="2B4E57AD" w14:textId="77777777" w:rsidR="00965F47" w:rsidRDefault="00965F47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Safeguarding Records (including Key person record sheets that relate to this)</w:t>
            </w:r>
          </w:p>
        </w:tc>
        <w:tc>
          <w:tcPr>
            <w:tcW w:w="3220" w:type="dxa"/>
          </w:tcPr>
          <w:p w14:paraId="778650F9" w14:textId="77777777" w:rsidR="00965F47" w:rsidRDefault="00965F47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 years</w:t>
            </w:r>
            <w:r w:rsidR="00375428">
              <w:rPr>
                <w:rFonts w:ascii="Tahoma" w:hAnsi="Tahoma" w:cs="Tahoma"/>
                <w:sz w:val="24"/>
                <w:szCs w:val="24"/>
              </w:rPr>
              <w:t xml:space="preserve"> after the child has left the provision</w:t>
            </w:r>
          </w:p>
        </w:tc>
        <w:tc>
          <w:tcPr>
            <w:tcW w:w="5103" w:type="dxa"/>
          </w:tcPr>
          <w:p w14:paraId="76DD6B72" w14:textId="77777777" w:rsidR="00965F47" w:rsidRDefault="00965F47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375428" w14:paraId="5A9B57A2" w14:textId="77777777">
        <w:tc>
          <w:tcPr>
            <w:tcW w:w="6278" w:type="dxa"/>
          </w:tcPr>
          <w:p w14:paraId="0CB7A6C5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Safeguarding records (where a referral has been made)</w:t>
            </w:r>
          </w:p>
        </w:tc>
        <w:tc>
          <w:tcPr>
            <w:tcW w:w="3220" w:type="dxa"/>
          </w:tcPr>
          <w:p w14:paraId="7C858DDB" w14:textId="77777777" w:rsidR="00375428" w:rsidRDefault="00375428" w:rsidP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If a referral has been made, all records and information about this should be kept for 40 years.</w:t>
            </w:r>
          </w:p>
        </w:tc>
        <w:tc>
          <w:tcPr>
            <w:tcW w:w="5103" w:type="dxa"/>
          </w:tcPr>
          <w:p w14:paraId="2AA016E7" w14:textId="77777777" w:rsidR="00375428" w:rsidRDefault="00375428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375428" w14:paraId="064E4DC0" w14:textId="77777777">
        <w:tc>
          <w:tcPr>
            <w:tcW w:w="6278" w:type="dxa"/>
          </w:tcPr>
          <w:p w14:paraId="147DD924" w14:textId="0E78A4CA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Employment records </w:t>
            </w:r>
            <w:r>
              <w:rPr>
                <w:rFonts w:ascii="Tahoma" w:hAnsi="Tahoma" w:cs="Tahoma"/>
                <w:sz w:val="24"/>
                <w:szCs w:val="24"/>
              </w:rPr>
              <w:t>(</w:t>
            </w:r>
            <w:r w:rsidR="00986AA2">
              <w:rPr>
                <w:rFonts w:ascii="Tahoma" w:hAnsi="Tahoma" w:cs="Tahoma"/>
                <w:sz w:val="24"/>
                <w:szCs w:val="24"/>
              </w:rPr>
              <w:t>e.g.,</w:t>
            </w:r>
            <w:r>
              <w:rPr>
                <w:rFonts w:ascii="Tahoma" w:hAnsi="Tahoma" w:cs="Tahoma"/>
                <w:sz w:val="24"/>
                <w:szCs w:val="24"/>
              </w:rPr>
              <w:t xml:space="preserve"> personnel files and training records)</w:t>
            </w:r>
            <w:r>
              <w:rPr>
                <w:rFonts w:ascii="Tahoma" w:hAnsi="Tahoma" w:cs="Tahoma"/>
                <w:b/>
                <w:sz w:val="24"/>
                <w:szCs w:val="24"/>
              </w:rPr>
              <w:t xml:space="preserve"> including disciplinary records and working time records</w:t>
            </w:r>
          </w:p>
        </w:tc>
        <w:tc>
          <w:tcPr>
            <w:tcW w:w="3220" w:type="dxa"/>
          </w:tcPr>
          <w:p w14:paraId="3AFFF426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 years after employment ceases</w:t>
            </w:r>
          </w:p>
        </w:tc>
        <w:tc>
          <w:tcPr>
            <w:tcW w:w="5103" w:type="dxa"/>
          </w:tcPr>
          <w:p w14:paraId="084626E1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75428" w14:paraId="7DA0ED49" w14:textId="77777777">
        <w:tc>
          <w:tcPr>
            <w:tcW w:w="6278" w:type="dxa"/>
          </w:tcPr>
          <w:p w14:paraId="05096139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Wage/salary records </w:t>
            </w:r>
          </w:p>
          <w:p w14:paraId="53E36A19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(</w:t>
            </w:r>
            <w:proofErr w:type="gramStart"/>
            <w:r>
              <w:rPr>
                <w:rFonts w:ascii="Tahoma" w:hAnsi="Tahoma" w:cs="Tahoma"/>
                <w:sz w:val="24"/>
                <w:szCs w:val="24"/>
              </w:rPr>
              <w:t>to</w:t>
            </w:r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include </w:t>
            </w: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wage records, pension contributions, tax and National Insurance payments, P35s, timesheets, overtime, bonuses, and expenses</w:t>
            </w:r>
          </w:p>
        </w:tc>
        <w:tc>
          <w:tcPr>
            <w:tcW w:w="3220" w:type="dxa"/>
          </w:tcPr>
          <w:p w14:paraId="566A293B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 years</w:t>
            </w:r>
          </w:p>
        </w:tc>
        <w:tc>
          <w:tcPr>
            <w:tcW w:w="5103" w:type="dxa"/>
          </w:tcPr>
          <w:p w14:paraId="41BCA8B5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Taxes Management Act 1970</w:t>
            </w:r>
          </w:p>
        </w:tc>
      </w:tr>
      <w:tr w:rsidR="00375428" w14:paraId="216D30B0" w14:textId="77777777">
        <w:tc>
          <w:tcPr>
            <w:tcW w:w="6278" w:type="dxa"/>
          </w:tcPr>
          <w:p w14:paraId="21BBF8F1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lastRenderedPageBreak/>
              <w:t>Records relating to working time</w:t>
            </w:r>
          </w:p>
        </w:tc>
        <w:tc>
          <w:tcPr>
            <w:tcW w:w="3220" w:type="dxa"/>
          </w:tcPr>
          <w:p w14:paraId="4349ECEC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2 years from date on which they were made</w:t>
            </w:r>
          </w:p>
        </w:tc>
        <w:tc>
          <w:tcPr>
            <w:tcW w:w="5103" w:type="dxa"/>
          </w:tcPr>
          <w:p w14:paraId="0612FC7E" w14:textId="77777777" w:rsidR="00375428" w:rsidRDefault="00375428">
            <w:pPr>
              <w:spacing w:after="0"/>
              <w:jc w:val="center"/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The Working Time Regulations 1998 (SI 1998/1833)</w:t>
            </w:r>
          </w:p>
        </w:tc>
      </w:tr>
      <w:tr w:rsidR="00375428" w14:paraId="703D61E7" w14:textId="77777777">
        <w:tc>
          <w:tcPr>
            <w:tcW w:w="6278" w:type="dxa"/>
          </w:tcPr>
          <w:p w14:paraId="74F18B47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  <w:t xml:space="preserve">Statutory Maternity Pay records, calculations, certificates </w:t>
            </w: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(Mat B1s)</w:t>
            </w:r>
            <w:r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  <w:t xml:space="preserve"> or other medical evidence</w:t>
            </w:r>
          </w:p>
        </w:tc>
        <w:tc>
          <w:tcPr>
            <w:tcW w:w="3220" w:type="dxa"/>
          </w:tcPr>
          <w:p w14:paraId="71791D99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3 years after the end of the tax year in which the maternity period ends</w:t>
            </w:r>
          </w:p>
        </w:tc>
        <w:tc>
          <w:tcPr>
            <w:tcW w:w="5103" w:type="dxa"/>
          </w:tcPr>
          <w:p w14:paraId="4E716BB2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The Statutory Maternity Pay (General) Regulations 1986</w:t>
            </w:r>
            <w:r>
              <w:rPr>
                <w:rFonts w:ascii="Tahoma" w:hAnsi="Tahoma" w:cs="Tahoma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(SI 1986/1960) as amended</w:t>
            </w:r>
          </w:p>
        </w:tc>
      </w:tr>
      <w:tr w:rsidR="00375428" w14:paraId="1D5265F5" w14:textId="77777777">
        <w:tc>
          <w:tcPr>
            <w:tcW w:w="6278" w:type="dxa"/>
          </w:tcPr>
          <w:p w14:paraId="7DE1DDBD" w14:textId="77777777" w:rsidR="00375428" w:rsidRDefault="00375428">
            <w:pPr>
              <w:spacing w:after="0"/>
              <w:jc w:val="center"/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b/>
                <w:color w:val="000000"/>
                <w:sz w:val="24"/>
                <w:szCs w:val="24"/>
              </w:rPr>
              <w:t>Statutory Sick Pay records, calculations, certificates, self-certificates</w:t>
            </w:r>
          </w:p>
        </w:tc>
        <w:tc>
          <w:tcPr>
            <w:tcW w:w="3220" w:type="dxa"/>
          </w:tcPr>
          <w:p w14:paraId="5D04A18E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3 years after the end of the tax year to which they relate</w:t>
            </w:r>
          </w:p>
        </w:tc>
        <w:tc>
          <w:tcPr>
            <w:tcW w:w="5103" w:type="dxa"/>
          </w:tcPr>
          <w:p w14:paraId="15B6B535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The Statutory Sick Pay (General) Regulations 1982</w:t>
            </w:r>
            <w:r>
              <w:rPr>
                <w:rFonts w:ascii="Tahoma" w:hAnsi="Tahoma" w:cs="Tahoma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apple-style-span"/>
                <w:rFonts w:ascii="Tahoma" w:hAnsi="Tahoma" w:cs="Tahoma"/>
                <w:color w:val="000000"/>
                <w:sz w:val="24"/>
                <w:szCs w:val="24"/>
              </w:rPr>
              <w:t>(SI 1982/894) as amended</w:t>
            </w:r>
          </w:p>
        </w:tc>
      </w:tr>
      <w:tr w:rsidR="00375428" w14:paraId="7EA63FFE" w14:textId="77777777">
        <w:tc>
          <w:tcPr>
            <w:tcW w:w="6278" w:type="dxa"/>
          </w:tcPr>
          <w:p w14:paraId="7D1E2837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 xml:space="preserve">Application forms and interview notes </w:t>
            </w:r>
          </w:p>
          <w:p w14:paraId="08F9B960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(for unsuccessful candidates)</w:t>
            </w:r>
          </w:p>
        </w:tc>
        <w:tc>
          <w:tcPr>
            <w:tcW w:w="3220" w:type="dxa"/>
          </w:tcPr>
          <w:p w14:paraId="6F4940DC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 months</w:t>
            </w:r>
          </w:p>
        </w:tc>
        <w:tc>
          <w:tcPr>
            <w:tcW w:w="5103" w:type="dxa"/>
          </w:tcPr>
          <w:p w14:paraId="684A1F78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75428" w14:paraId="0F6BF0EF" w14:textId="77777777">
        <w:tc>
          <w:tcPr>
            <w:tcW w:w="6278" w:type="dxa"/>
          </w:tcPr>
          <w:p w14:paraId="4AF1E7B6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Complaints Log/Record</w:t>
            </w:r>
          </w:p>
        </w:tc>
        <w:tc>
          <w:tcPr>
            <w:tcW w:w="3220" w:type="dxa"/>
          </w:tcPr>
          <w:p w14:paraId="3D531572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 years</w:t>
            </w:r>
          </w:p>
        </w:tc>
        <w:tc>
          <w:tcPr>
            <w:tcW w:w="5103" w:type="dxa"/>
          </w:tcPr>
          <w:p w14:paraId="376A9892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75428" w14:paraId="5E783FCB" w14:textId="77777777">
        <w:tc>
          <w:tcPr>
            <w:tcW w:w="6278" w:type="dxa"/>
          </w:tcPr>
          <w:p w14:paraId="3B06B6C6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Policies and Procedures</w:t>
            </w:r>
          </w:p>
        </w:tc>
        <w:tc>
          <w:tcPr>
            <w:tcW w:w="3220" w:type="dxa"/>
          </w:tcPr>
          <w:p w14:paraId="0B9E9B61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No legal requirement (unless relating to a complaint or accident), 3 years is sensible</w:t>
            </w:r>
          </w:p>
        </w:tc>
        <w:tc>
          <w:tcPr>
            <w:tcW w:w="5103" w:type="dxa"/>
          </w:tcPr>
          <w:p w14:paraId="5EBB9CB9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75428" w14:paraId="6BA6052F" w14:textId="77777777">
        <w:tc>
          <w:tcPr>
            <w:tcW w:w="6278" w:type="dxa"/>
          </w:tcPr>
          <w:p w14:paraId="46343FBD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Fire safety/Gas &amp; Electrical appliance testing records etc.</w:t>
            </w:r>
          </w:p>
        </w:tc>
        <w:tc>
          <w:tcPr>
            <w:tcW w:w="3220" w:type="dxa"/>
          </w:tcPr>
          <w:p w14:paraId="5D7E0C33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No legal requirement (unless relating to a complaint or accident), 3 years is sensible</w:t>
            </w:r>
          </w:p>
        </w:tc>
        <w:tc>
          <w:tcPr>
            <w:tcW w:w="5103" w:type="dxa"/>
          </w:tcPr>
          <w:p w14:paraId="47A6F8DD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75428" w14:paraId="1FA984F4" w14:textId="77777777">
        <w:tc>
          <w:tcPr>
            <w:tcW w:w="6278" w:type="dxa"/>
          </w:tcPr>
          <w:p w14:paraId="5B21C02D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Board of Trustee meeting minutes</w:t>
            </w:r>
          </w:p>
        </w:tc>
        <w:tc>
          <w:tcPr>
            <w:tcW w:w="3220" w:type="dxa"/>
          </w:tcPr>
          <w:p w14:paraId="38D671F6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Permanently</w:t>
            </w:r>
          </w:p>
        </w:tc>
        <w:tc>
          <w:tcPr>
            <w:tcW w:w="5103" w:type="dxa"/>
          </w:tcPr>
          <w:p w14:paraId="15DECEA0" w14:textId="77777777" w:rsidR="00375428" w:rsidRDefault="00375428">
            <w:pPr>
              <w:spacing w:after="0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455E3A4A" w14:textId="77777777" w:rsidR="00D17C78" w:rsidRDefault="00D17C78">
      <w:pPr>
        <w:rPr>
          <w:rFonts w:ascii="Tahoma" w:hAnsi="Tahoma" w:cs="Tahoma"/>
          <w:b/>
          <w:sz w:val="16"/>
          <w:szCs w:val="16"/>
        </w:rPr>
      </w:pPr>
    </w:p>
    <w:p w14:paraId="4AEF04D2" w14:textId="77777777" w:rsidR="00A95059" w:rsidRDefault="00A95059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Storage</w:t>
      </w:r>
    </w:p>
    <w:p w14:paraId="4E98C142" w14:textId="77777777" w:rsidR="00A95059" w:rsidRPr="00A95059" w:rsidRDefault="00A95059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 line with our Confidentiality Policy, all records are kept</w:t>
      </w:r>
      <w:r w:rsidR="00902CDB">
        <w:rPr>
          <w:rFonts w:ascii="Tahoma" w:hAnsi="Tahoma" w:cs="Tahoma"/>
          <w:sz w:val="24"/>
          <w:szCs w:val="24"/>
        </w:rPr>
        <w:t xml:space="preserve"> on a password protected Dropbox and/or</w:t>
      </w:r>
      <w:r>
        <w:rPr>
          <w:rFonts w:ascii="Tahoma" w:hAnsi="Tahoma" w:cs="Tahoma"/>
          <w:sz w:val="24"/>
          <w:szCs w:val="24"/>
        </w:rPr>
        <w:t xml:space="preserve"> in the office in the Caretaker’s House, this room has restricted access. Lockable filing cabinets are also used for confidential or sensitive documents.</w:t>
      </w:r>
    </w:p>
    <w:p w14:paraId="553ADA11" w14:textId="77777777" w:rsidR="00D17C78" w:rsidRDefault="00D17C78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Review</w:t>
      </w:r>
    </w:p>
    <w:p w14:paraId="4DCC96E4" w14:textId="77777777" w:rsidR="00D17C78" w:rsidRDefault="00D17C7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These procedures will be </w:t>
      </w:r>
      <w:r w:rsidR="009C7AA6">
        <w:rPr>
          <w:rFonts w:ascii="Tahoma" w:hAnsi="Tahoma" w:cs="Tahoma"/>
          <w:sz w:val="24"/>
          <w:szCs w:val="24"/>
        </w:rPr>
        <w:t xml:space="preserve">reviewed annually by staff and </w:t>
      </w:r>
      <w:r w:rsidR="00A94C3F">
        <w:rPr>
          <w:rFonts w:ascii="Tahoma" w:hAnsi="Tahoma" w:cs="Tahoma"/>
          <w:sz w:val="24"/>
          <w:szCs w:val="24"/>
        </w:rPr>
        <w:t>Board of Trustees</w:t>
      </w:r>
      <w:r>
        <w:rPr>
          <w:rFonts w:ascii="Tahoma" w:hAnsi="Tahoma" w:cs="Tahoma"/>
          <w:sz w:val="24"/>
          <w:szCs w:val="24"/>
        </w:rPr>
        <w:t xml:space="preserve"> and will be updated according to statutory regulations, legislation and advice from relevant bodies.</w:t>
      </w:r>
    </w:p>
    <w:p w14:paraId="3CC58511" w14:textId="77777777" w:rsidR="00D17C78" w:rsidRDefault="00D17C78">
      <w:pPr>
        <w:jc w:val="center"/>
      </w:pPr>
    </w:p>
    <w:sectPr w:rsidR="00D17C78" w:rsidSect="00D9030D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CDB10" w14:textId="77777777" w:rsidR="00817291" w:rsidRDefault="00817291">
      <w:pPr>
        <w:spacing w:after="0"/>
      </w:pPr>
      <w:r>
        <w:separator/>
      </w:r>
    </w:p>
  </w:endnote>
  <w:endnote w:type="continuationSeparator" w:id="0">
    <w:p w14:paraId="5CECAA33" w14:textId="77777777" w:rsidR="00817291" w:rsidRDefault="008172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A89D5" w14:textId="77777777" w:rsidR="00C57060" w:rsidRPr="008958BD" w:rsidRDefault="00C57060" w:rsidP="00C57060">
    <w:pPr>
      <w:tabs>
        <w:tab w:val="right" w:pos="13467"/>
      </w:tabs>
      <w:spacing w:before="120" w:after="0"/>
      <w:jc w:val="center"/>
      <w:rPr>
        <w:sz w:val="20"/>
        <w:szCs w:val="20"/>
      </w:rPr>
    </w:pPr>
    <w:r w:rsidRPr="008958BD">
      <w:rPr>
        <w:sz w:val="20"/>
        <w:szCs w:val="20"/>
      </w:rPr>
      <w:t>Retention of Records Procedure</w:t>
    </w:r>
    <w:r w:rsidR="00927532" w:rsidRPr="008958BD">
      <w:rPr>
        <w:sz w:val="20"/>
        <w:szCs w:val="20"/>
      </w:rPr>
      <w:tab/>
    </w:r>
    <w:r w:rsidR="00D17C78" w:rsidRPr="008958BD">
      <w:rPr>
        <w:sz w:val="20"/>
        <w:szCs w:val="20"/>
      </w:rPr>
      <w:t xml:space="preserve">Page </w:t>
    </w:r>
    <w:r w:rsidR="00C3563C" w:rsidRPr="008958BD">
      <w:rPr>
        <w:sz w:val="20"/>
        <w:szCs w:val="20"/>
      </w:rPr>
      <w:fldChar w:fldCharType="begin"/>
    </w:r>
    <w:r w:rsidR="00521E9F" w:rsidRPr="008958BD">
      <w:rPr>
        <w:sz w:val="20"/>
        <w:szCs w:val="20"/>
      </w:rPr>
      <w:instrText xml:space="preserve"> PAGE </w:instrText>
    </w:r>
    <w:r w:rsidR="00C3563C" w:rsidRPr="008958BD">
      <w:rPr>
        <w:sz w:val="20"/>
        <w:szCs w:val="20"/>
      </w:rPr>
      <w:fldChar w:fldCharType="separate"/>
    </w:r>
    <w:r w:rsidR="006F23D8">
      <w:rPr>
        <w:noProof/>
        <w:sz w:val="20"/>
        <w:szCs w:val="20"/>
      </w:rPr>
      <w:t>1</w:t>
    </w:r>
    <w:r w:rsidR="00C3563C" w:rsidRPr="008958BD">
      <w:rPr>
        <w:noProof/>
        <w:sz w:val="20"/>
        <w:szCs w:val="20"/>
      </w:rPr>
      <w:fldChar w:fldCharType="end"/>
    </w:r>
    <w:r w:rsidR="00D17C78" w:rsidRPr="008958BD">
      <w:rPr>
        <w:sz w:val="20"/>
        <w:szCs w:val="20"/>
      </w:rPr>
      <w:t xml:space="preserve"> of </w:t>
    </w:r>
    <w:r w:rsidR="00C3563C" w:rsidRPr="008958BD">
      <w:rPr>
        <w:sz w:val="20"/>
        <w:szCs w:val="20"/>
      </w:rPr>
      <w:fldChar w:fldCharType="begin"/>
    </w:r>
    <w:r w:rsidR="00521E9F" w:rsidRPr="008958BD">
      <w:rPr>
        <w:sz w:val="20"/>
        <w:szCs w:val="20"/>
      </w:rPr>
      <w:instrText xml:space="preserve"> NUMPAGES  </w:instrText>
    </w:r>
    <w:r w:rsidR="00C3563C" w:rsidRPr="008958BD">
      <w:rPr>
        <w:sz w:val="20"/>
        <w:szCs w:val="20"/>
      </w:rPr>
      <w:fldChar w:fldCharType="separate"/>
    </w:r>
    <w:r w:rsidR="006F23D8">
      <w:rPr>
        <w:noProof/>
        <w:sz w:val="20"/>
        <w:szCs w:val="20"/>
      </w:rPr>
      <w:t>3</w:t>
    </w:r>
    <w:r w:rsidR="00C3563C" w:rsidRPr="008958BD">
      <w:rPr>
        <w:noProof/>
        <w:sz w:val="20"/>
        <w:szCs w:val="20"/>
      </w:rPr>
      <w:fldChar w:fldCharType="end"/>
    </w:r>
  </w:p>
  <w:p w14:paraId="3C4660EF" w14:textId="77777777" w:rsidR="00542CCD" w:rsidRPr="008958BD" w:rsidRDefault="00542CCD">
    <w:pPr>
      <w:tabs>
        <w:tab w:val="right" w:pos="13467"/>
      </w:tabs>
      <w:spacing w:after="0"/>
      <w:jc w:val="center"/>
      <w:rPr>
        <w:b/>
        <w:sz w:val="20"/>
        <w:szCs w:val="20"/>
      </w:rPr>
    </w:pPr>
  </w:p>
  <w:p w14:paraId="73017F45" w14:textId="496D37C0" w:rsidR="00542CCD" w:rsidRPr="008958BD" w:rsidRDefault="001C6EF5" w:rsidP="001C6EF5">
    <w:pPr>
      <w:tabs>
        <w:tab w:val="right" w:pos="13467"/>
      </w:tabs>
      <w:spacing w:after="0"/>
      <w:jc w:val="center"/>
      <w:rPr>
        <w:sz w:val="20"/>
        <w:szCs w:val="20"/>
      </w:rPr>
    </w:pPr>
    <w:r w:rsidRPr="001C6EF5">
      <w:rPr>
        <w:sz w:val="20"/>
        <w:szCs w:val="20"/>
        <w:lang w:val="x-none"/>
      </w:rPr>
      <w:t xml:space="preserve">Updated: </w:t>
    </w:r>
    <w:r w:rsidRPr="001C6EF5">
      <w:rPr>
        <w:sz w:val="20"/>
        <w:szCs w:val="20"/>
      </w:rPr>
      <w:t xml:space="preserve"> Jan 2025</w:t>
    </w:r>
    <w:r w:rsidRPr="001C6EF5">
      <w:rPr>
        <w:sz w:val="20"/>
        <w:szCs w:val="20"/>
        <w:lang w:val="x-none"/>
      </w:rPr>
      <w:tab/>
    </w:r>
    <w:r w:rsidRPr="001C6EF5">
      <w:rPr>
        <w:sz w:val="20"/>
        <w:szCs w:val="20"/>
        <w:lang w:val="x-none"/>
      </w:rPr>
      <w:tab/>
      <w:t xml:space="preserve">Review: </w:t>
    </w:r>
    <w:r w:rsidRPr="001C6EF5">
      <w:rPr>
        <w:sz w:val="20"/>
        <w:szCs w:val="20"/>
      </w:rPr>
      <w:t>Jan 202</w:t>
    </w:r>
    <w:r>
      <w:rPr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91478" w14:textId="77777777" w:rsidR="00817291" w:rsidRDefault="00817291">
      <w:pPr>
        <w:spacing w:after="0"/>
      </w:pPr>
      <w:r>
        <w:separator/>
      </w:r>
    </w:p>
  </w:footnote>
  <w:footnote w:type="continuationSeparator" w:id="0">
    <w:p w14:paraId="1E426F22" w14:textId="77777777" w:rsidR="00817291" w:rsidRDefault="0081729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B8F"/>
    <w:rsid w:val="00112009"/>
    <w:rsid w:val="00157241"/>
    <w:rsid w:val="00197882"/>
    <w:rsid w:val="001C6EF5"/>
    <w:rsid w:val="001D4CDF"/>
    <w:rsid w:val="001F0436"/>
    <w:rsid w:val="00254B5C"/>
    <w:rsid w:val="00336027"/>
    <w:rsid w:val="00346A16"/>
    <w:rsid w:val="00367E3B"/>
    <w:rsid w:val="00375428"/>
    <w:rsid w:val="00391943"/>
    <w:rsid w:val="003A44EC"/>
    <w:rsid w:val="003B3B8F"/>
    <w:rsid w:val="003E0B39"/>
    <w:rsid w:val="003F1E6B"/>
    <w:rsid w:val="004C5472"/>
    <w:rsid w:val="004E5564"/>
    <w:rsid w:val="00521E9F"/>
    <w:rsid w:val="00527253"/>
    <w:rsid w:val="00542CCD"/>
    <w:rsid w:val="00594623"/>
    <w:rsid w:val="005B7135"/>
    <w:rsid w:val="005C5128"/>
    <w:rsid w:val="005D103B"/>
    <w:rsid w:val="00616F73"/>
    <w:rsid w:val="00624190"/>
    <w:rsid w:val="00655433"/>
    <w:rsid w:val="00661C02"/>
    <w:rsid w:val="006B5817"/>
    <w:rsid w:val="006F0690"/>
    <w:rsid w:val="006F23D8"/>
    <w:rsid w:val="00772E9C"/>
    <w:rsid w:val="007B5315"/>
    <w:rsid w:val="0081454B"/>
    <w:rsid w:val="00817291"/>
    <w:rsid w:val="00867E7B"/>
    <w:rsid w:val="008958BD"/>
    <w:rsid w:val="008D0890"/>
    <w:rsid w:val="008E6E3E"/>
    <w:rsid w:val="00902CDB"/>
    <w:rsid w:val="00927532"/>
    <w:rsid w:val="00965F47"/>
    <w:rsid w:val="00986AA2"/>
    <w:rsid w:val="0099115F"/>
    <w:rsid w:val="009C7AA6"/>
    <w:rsid w:val="00A4375D"/>
    <w:rsid w:val="00A56BB1"/>
    <w:rsid w:val="00A81306"/>
    <w:rsid w:val="00A94C3F"/>
    <w:rsid w:val="00A95059"/>
    <w:rsid w:val="00AF38FC"/>
    <w:rsid w:val="00B04C0F"/>
    <w:rsid w:val="00B24E28"/>
    <w:rsid w:val="00B53170"/>
    <w:rsid w:val="00BA133E"/>
    <w:rsid w:val="00BB6A3E"/>
    <w:rsid w:val="00BC6908"/>
    <w:rsid w:val="00C3267E"/>
    <w:rsid w:val="00C3563C"/>
    <w:rsid w:val="00C57060"/>
    <w:rsid w:val="00CA3961"/>
    <w:rsid w:val="00CB7E52"/>
    <w:rsid w:val="00CC119C"/>
    <w:rsid w:val="00CC6B19"/>
    <w:rsid w:val="00D17C78"/>
    <w:rsid w:val="00D2624C"/>
    <w:rsid w:val="00D520C3"/>
    <w:rsid w:val="00D536BC"/>
    <w:rsid w:val="00D80836"/>
    <w:rsid w:val="00D832EC"/>
    <w:rsid w:val="00D84B45"/>
    <w:rsid w:val="00D9030D"/>
    <w:rsid w:val="00E12B8D"/>
    <w:rsid w:val="00E67618"/>
    <w:rsid w:val="00E97E22"/>
    <w:rsid w:val="00EC022D"/>
    <w:rsid w:val="00F10E4D"/>
    <w:rsid w:val="00F36367"/>
    <w:rsid w:val="00F63E01"/>
    <w:rsid w:val="00F76CF8"/>
    <w:rsid w:val="00FD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AADDD2F"/>
  <w15:docId w15:val="{68981F90-021D-4AAB-8022-F67BC101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30D"/>
    <w:pPr>
      <w:spacing w:after="200"/>
    </w:pPr>
    <w:rPr>
      <w:sz w:val="22"/>
      <w:szCs w:val="22"/>
      <w:lang w:val="en-GB"/>
    </w:rPr>
  </w:style>
  <w:style w:type="paragraph" w:styleId="Heading5">
    <w:name w:val="heading 5"/>
    <w:basedOn w:val="Normal"/>
    <w:next w:val="Normal"/>
    <w:qFormat/>
    <w:rsid w:val="00D9030D"/>
    <w:pPr>
      <w:keepNext/>
      <w:spacing w:after="0"/>
      <w:jc w:val="center"/>
      <w:outlineLvl w:val="4"/>
    </w:pPr>
    <w:rPr>
      <w:rFonts w:ascii="Comic Sans MS" w:eastAsia="Times New Roman" w:hAnsi="Comic Sans MS"/>
      <w:b/>
      <w:sz w:val="40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D9030D"/>
  </w:style>
  <w:style w:type="paragraph" w:styleId="Header">
    <w:name w:val="header"/>
    <w:basedOn w:val="Normal"/>
    <w:link w:val="HeaderChar"/>
    <w:unhideWhenUsed/>
    <w:rsid w:val="00D9030D"/>
    <w:pPr>
      <w:tabs>
        <w:tab w:val="center" w:pos="4680"/>
        <w:tab w:val="right" w:pos="9360"/>
      </w:tabs>
      <w:spacing w:after="0"/>
    </w:pPr>
  </w:style>
  <w:style w:type="character" w:customStyle="1" w:styleId="CharChar2">
    <w:name w:val="Char Char2"/>
    <w:basedOn w:val="DefaultParagraphFont"/>
    <w:rsid w:val="00D9030D"/>
    <w:rPr>
      <w:lang w:val="en-GB"/>
    </w:rPr>
  </w:style>
  <w:style w:type="paragraph" w:styleId="Footer">
    <w:name w:val="footer"/>
    <w:basedOn w:val="Normal"/>
    <w:unhideWhenUsed/>
    <w:rsid w:val="00D9030D"/>
    <w:pPr>
      <w:tabs>
        <w:tab w:val="center" w:pos="4680"/>
        <w:tab w:val="right" w:pos="9360"/>
      </w:tabs>
      <w:spacing w:after="0"/>
    </w:pPr>
  </w:style>
  <w:style w:type="character" w:customStyle="1" w:styleId="CharChar1">
    <w:name w:val="Char Char1"/>
    <w:basedOn w:val="DefaultParagraphFont"/>
    <w:rsid w:val="00D9030D"/>
    <w:rPr>
      <w:lang w:val="en-GB"/>
    </w:rPr>
  </w:style>
  <w:style w:type="paragraph" w:styleId="BalloonText">
    <w:name w:val="Balloon Text"/>
    <w:basedOn w:val="Normal"/>
    <w:semiHidden/>
    <w:unhideWhenUsed/>
    <w:rsid w:val="00D9030D"/>
    <w:pPr>
      <w:spacing w:after="0"/>
    </w:pPr>
    <w:rPr>
      <w:rFonts w:ascii="Tahoma" w:hAnsi="Tahoma" w:cs="Tahoma"/>
      <w:sz w:val="16"/>
      <w:szCs w:val="16"/>
    </w:rPr>
  </w:style>
  <w:style w:type="character" w:customStyle="1" w:styleId="CharChar">
    <w:name w:val="Char Char"/>
    <w:basedOn w:val="DefaultParagraphFont"/>
    <w:semiHidden/>
    <w:rsid w:val="00D9030D"/>
    <w:rPr>
      <w:rFonts w:ascii="Tahoma" w:hAnsi="Tahoma" w:cs="Tahoma"/>
      <w:sz w:val="16"/>
      <w:szCs w:val="16"/>
      <w:lang w:val="en-GB"/>
    </w:rPr>
  </w:style>
  <w:style w:type="character" w:customStyle="1" w:styleId="CharChar3">
    <w:name w:val="Char Char3"/>
    <w:basedOn w:val="DefaultParagraphFont"/>
    <w:rsid w:val="00D9030D"/>
    <w:rPr>
      <w:rFonts w:ascii="Comic Sans MS" w:eastAsia="Times New Roman" w:hAnsi="Comic Sans MS" w:cs="Times New Roman"/>
      <w:b/>
      <w:sz w:val="40"/>
      <w:szCs w:val="24"/>
      <w:lang w:val="en-GB"/>
    </w:rPr>
  </w:style>
  <w:style w:type="character" w:styleId="CommentReference">
    <w:name w:val="annotation reference"/>
    <w:basedOn w:val="DefaultParagraphFont"/>
    <w:semiHidden/>
    <w:rsid w:val="00D9030D"/>
    <w:rPr>
      <w:sz w:val="16"/>
      <w:szCs w:val="16"/>
    </w:rPr>
  </w:style>
  <w:style w:type="paragraph" w:styleId="CommentText">
    <w:name w:val="annotation text"/>
    <w:basedOn w:val="Normal"/>
    <w:semiHidden/>
    <w:rsid w:val="00D9030D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9030D"/>
    <w:rPr>
      <w:b/>
      <w:bCs/>
    </w:rPr>
  </w:style>
  <w:style w:type="character" w:customStyle="1" w:styleId="HeaderChar">
    <w:name w:val="Header Char"/>
    <w:basedOn w:val="DefaultParagraphFont"/>
    <w:link w:val="Header"/>
    <w:rsid w:val="008958BD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06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Retention of Records Procedures</vt:lpstr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Retention of Records Procedures</dc:title>
  <dc:creator>Ashton Gate</dc:creator>
  <cp:lastModifiedBy>Bella Wright</cp:lastModifiedBy>
  <cp:revision>5</cp:revision>
  <cp:lastPrinted>2017-12-05T12:08:00Z</cp:lastPrinted>
  <dcterms:created xsi:type="dcterms:W3CDTF">2021-05-12T09:32:00Z</dcterms:created>
  <dcterms:modified xsi:type="dcterms:W3CDTF">2025-02-27T17:49:00Z</dcterms:modified>
</cp:coreProperties>
</file>